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2E2AD" w14:textId="77777777" w:rsidR="00C0506C" w:rsidRDefault="00C0506C" w:rsidP="009A0091">
      <w:pPr>
        <w:spacing w:line="280" w:lineRule="exact"/>
        <w:jc w:val="center"/>
        <w:rPr>
          <w:rFonts w:ascii="Riojana Bold" w:hAnsi="Riojana Bold"/>
        </w:rPr>
      </w:pPr>
      <w:r w:rsidRPr="00C0506C">
        <w:rPr>
          <w:rFonts w:ascii="Riojana Bold" w:hAnsi="Riojana Bold"/>
        </w:rPr>
        <w:t>FORMULARIO DE SOLICITUD</w:t>
      </w:r>
      <w:r>
        <w:rPr>
          <w:rFonts w:ascii="Riojana Bold" w:hAnsi="Riojana Bold"/>
        </w:rPr>
        <w:t xml:space="preserve"> </w:t>
      </w:r>
    </w:p>
    <w:p w14:paraId="5C614C88" w14:textId="54731FC9" w:rsidR="003364A2" w:rsidRDefault="005F195B" w:rsidP="009A0091">
      <w:pPr>
        <w:spacing w:line="280" w:lineRule="exact"/>
        <w:jc w:val="center"/>
        <w:rPr>
          <w:rFonts w:ascii="Riojana Bold" w:hAnsi="Riojana Bold"/>
        </w:rPr>
      </w:pPr>
      <w:r>
        <w:rPr>
          <w:rFonts w:ascii="Riojana Bold" w:hAnsi="Riojana Bold"/>
        </w:rPr>
        <w:t>VACUNA FRENTE AL HE</w:t>
      </w:r>
      <w:r w:rsidR="00C0506C">
        <w:rPr>
          <w:rFonts w:ascii="Riojana Bold" w:hAnsi="Riojana Bold"/>
        </w:rPr>
        <w:t>RPES ZÓSTER (vacuna inactivada)</w:t>
      </w:r>
    </w:p>
    <w:p w14:paraId="4AE1EF57" w14:textId="4C00612F" w:rsidR="00BC1441" w:rsidRDefault="00C0506C" w:rsidP="009A0091">
      <w:pPr>
        <w:spacing w:line="280" w:lineRule="exact"/>
        <w:jc w:val="center"/>
        <w:rPr>
          <w:rFonts w:ascii="Riojana Bold" w:hAnsi="Riojana Bold"/>
        </w:rPr>
      </w:pPr>
      <w:r w:rsidRPr="00473F8B">
        <w:rPr>
          <w:rFonts w:ascii="Riojana Bold" w:hAnsi="Riojana Bold"/>
        </w:rPr>
        <w:t>EN GRUPOS DE RIESGO</w:t>
      </w:r>
      <w:r w:rsidR="00BC1441" w:rsidRPr="00473F8B">
        <w:rPr>
          <w:rFonts w:ascii="Riojana Bold" w:hAnsi="Riojana Bold"/>
        </w:rPr>
        <w:t xml:space="preserve">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479"/>
        <w:gridCol w:w="4341"/>
      </w:tblGrid>
      <w:tr w:rsidR="001B01EE" w:rsidRPr="001D796C" w14:paraId="769CA66E" w14:textId="77777777" w:rsidTr="00957A1E">
        <w:tc>
          <w:tcPr>
            <w:tcW w:w="9039" w:type="dxa"/>
            <w:gridSpan w:val="4"/>
            <w:shd w:val="pct5" w:color="auto" w:fill="auto"/>
          </w:tcPr>
          <w:p w14:paraId="039E9A93" w14:textId="77777777" w:rsidR="001B01EE" w:rsidRPr="001D796C" w:rsidRDefault="001B01EE" w:rsidP="00957A1E">
            <w:pPr>
              <w:spacing w:before="120" w:after="120" w:line="280" w:lineRule="exact"/>
              <w:jc w:val="center"/>
              <w:rPr>
                <w:rFonts w:ascii="HelveticaNeue LT 85 Heavy" w:hAnsi="HelveticaNeue LT 85 Heavy"/>
                <w:sz w:val="20"/>
                <w:szCs w:val="20"/>
              </w:rPr>
            </w:pPr>
            <w:r w:rsidRPr="001D796C">
              <w:rPr>
                <w:rFonts w:ascii="HelveticaNeue LT 85 Heavy" w:hAnsi="HelveticaNeue LT 85 Heavy"/>
                <w:sz w:val="20"/>
                <w:szCs w:val="20"/>
              </w:rPr>
              <w:t>Datos del paciente</w:t>
            </w:r>
          </w:p>
        </w:tc>
      </w:tr>
      <w:tr w:rsidR="001B01EE" w:rsidRPr="001D796C" w14:paraId="77B1D3EF" w14:textId="77777777" w:rsidTr="00957A1E">
        <w:tc>
          <w:tcPr>
            <w:tcW w:w="4219" w:type="dxa"/>
            <w:gridSpan w:val="2"/>
            <w:shd w:val="clear" w:color="auto" w:fill="auto"/>
          </w:tcPr>
          <w:p w14:paraId="30018B20" w14:textId="77777777" w:rsidR="001B01EE" w:rsidRPr="00957A1E" w:rsidRDefault="001B01EE" w:rsidP="00957A1E">
            <w:pPr>
              <w:spacing w:before="120" w:after="120" w:line="280" w:lineRule="exact"/>
              <w:rPr>
                <w:rFonts w:ascii="Riojana Bold" w:hAnsi="Riojana Bold"/>
                <w:sz w:val="20"/>
                <w:szCs w:val="20"/>
              </w:rPr>
            </w:pPr>
            <w:r w:rsidRPr="00957A1E">
              <w:rPr>
                <w:rFonts w:ascii="Riojana Bold" w:hAnsi="Riojana Bold"/>
                <w:sz w:val="20"/>
                <w:szCs w:val="20"/>
              </w:rPr>
              <w:t xml:space="preserve">NOMBRE: 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AB1943">
              <w:rPr>
                <w:rFonts w:ascii="Riojana Bold" w:hAnsi="Riojana Bold"/>
                <w:sz w:val="20"/>
                <w:szCs w:val="20"/>
              </w:rPr>
            </w:r>
            <w:r w:rsidR="00AB1943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bookmarkEnd w:id="0"/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4820" w:type="dxa"/>
            <w:gridSpan w:val="2"/>
            <w:shd w:val="clear" w:color="auto" w:fill="auto"/>
          </w:tcPr>
          <w:p w14:paraId="72A9D088" w14:textId="37C689CF" w:rsidR="001B01EE" w:rsidRPr="00957A1E" w:rsidRDefault="008568B5" w:rsidP="00957A1E">
            <w:pPr>
              <w:spacing w:before="120" w:after="120" w:line="280" w:lineRule="exact"/>
              <w:rPr>
                <w:rFonts w:ascii="Riojana Bold" w:hAnsi="Riojana Bold"/>
                <w:sz w:val="20"/>
                <w:szCs w:val="20"/>
              </w:rPr>
            </w:pPr>
            <w:r w:rsidRPr="00957A1E">
              <w:rPr>
                <w:rFonts w:ascii="Riojana Bold" w:hAnsi="Riojana Bold"/>
                <w:sz w:val="20"/>
                <w:szCs w:val="20"/>
              </w:rPr>
              <w:t>APELLIDOS: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bookmarkEnd w:id="2"/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</w:tr>
      <w:tr w:rsidR="00957A1E" w:rsidRPr="001D796C" w14:paraId="28934517" w14:textId="77777777" w:rsidTr="00957A1E">
        <w:tc>
          <w:tcPr>
            <w:tcW w:w="3085" w:type="dxa"/>
            <w:shd w:val="clear" w:color="auto" w:fill="auto"/>
          </w:tcPr>
          <w:p w14:paraId="52CB5D48" w14:textId="232C287A" w:rsidR="00957A1E" w:rsidRPr="00957A1E" w:rsidRDefault="00957A1E" w:rsidP="00957A1E">
            <w:pPr>
              <w:spacing w:before="120" w:after="120" w:line="280" w:lineRule="exact"/>
              <w:rPr>
                <w:rFonts w:ascii="Riojana Bold" w:hAnsi="Riojana Bold"/>
                <w:sz w:val="20"/>
                <w:szCs w:val="20"/>
              </w:rPr>
            </w:pPr>
            <w:r w:rsidRPr="00957A1E">
              <w:rPr>
                <w:rFonts w:ascii="Riojana Bold" w:hAnsi="Riojana Bold"/>
                <w:sz w:val="18"/>
                <w:szCs w:val="18"/>
              </w:rPr>
              <w:t xml:space="preserve">FECHA </w:t>
            </w:r>
            <w:r>
              <w:rPr>
                <w:rFonts w:ascii="Riojana Bold" w:hAnsi="Riojana Bold"/>
                <w:sz w:val="18"/>
                <w:szCs w:val="18"/>
              </w:rPr>
              <w:t>N</w:t>
            </w:r>
            <w:r w:rsidRPr="00957A1E">
              <w:rPr>
                <w:rFonts w:ascii="Riojana Bold" w:hAnsi="Riojana Bold"/>
                <w:sz w:val="18"/>
                <w:szCs w:val="18"/>
              </w:rPr>
              <w:t>ACIMIENTO</w:t>
            </w:r>
            <w:r w:rsidRPr="00957A1E">
              <w:rPr>
                <w:rFonts w:ascii="Riojana Bold" w:hAnsi="Riojana Bold"/>
                <w:sz w:val="20"/>
                <w:szCs w:val="20"/>
              </w:rPr>
              <w:t>: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noProof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bookmarkStart w:id="4" w:name="Texto14"/>
            <w:bookmarkEnd w:id="3"/>
            <w:r w:rsidRPr="00957A1E">
              <w:rPr>
                <w:rFonts w:ascii="Riojana Bold" w:hAnsi="Riojana Bold"/>
                <w:sz w:val="20"/>
                <w:szCs w:val="20"/>
              </w:rPr>
              <w:t xml:space="preserve"> </w:t>
            </w:r>
          </w:p>
        </w:tc>
        <w:bookmarkEnd w:id="4"/>
        <w:tc>
          <w:tcPr>
            <w:tcW w:w="1613" w:type="dxa"/>
            <w:gridSpan w:val="2"/>
            <w:shd w:val="clear" w:color="auto" w:fill="auto"/>
          </w:tcPr>
          <w:p w14:paraId="4F1E5CA9" w14:textId="18EF36D8" w:rsidR="00957A1E" w:rsidRPr="00957A1E" w:rsidRDefault="00957A1E" w:rsidP="00957A1E">
            <w:pPr>
              <w:spacing w:before="120" w:after="120" w:line="280" w:lineRule="exact"/>
              <w:ind w:left="175" w:hanging="175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>NHC</w:t>
            </w:r>
            <w:r w:rsidRPr="00957A1E">
              <w:rPr>
                <w:rFonts w:ascii="Riojana Bold" w:hAnsi="Riojana Bold"/>
                <w:sz w:val="20"/>
                <w:szCs w:val="20"/>
              </w:rPr>
              <w:t>: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4341" w:type="dxa"/>
            <w:shd w:val="clear" w:color="auto" w:fill="auto"/>
          </w:tcPr>
          <w:p w14:paraId="4318C6E6" w14:textId="380AFB9B" w:rsidR="00957A1E" w:rsidRPr="00957A1E" w:rsidRDefault="00957A1E" w:rsidP="00957A1E">
            <w:pPr>
              <w:spacing w:before="120" w:after="120" w:line="280" w:lineRule="exact"/>
              <w:ind w:left="175" w:hanging="175"/>
              <w:rPr>
                <w:rFonts w:ascii="Riojana Bold" w:hAnsi="Riojana Bold"/>
                <w:sz w:val="20"/>
                <w:szCs w:val="20"/>
              </w:rPr>
            </w:pPr>
            <w:r>
              <w:rPr>
                <w:rFonts w:ascii="Riojana Bold" w:hAnsi="Riojana Bold"/>
                <w:sz w:val="20"/>
                <w:szCs w:val="20"/>
              </w:rPr>
              <w:t xml:space="preserve">CENTRO DE SALUD 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Pr="00957A1E">
              <w:rPr>
                <w:rFonts w:ascii="Riojana Bold" w:hAnsi="Riojana Bold"/>
                <w:sz w:val="20"/>
                <w:szCs w:val="20"/>
              </w:rPr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903"/>
        <w:gridCol w:w="3492"/>
        <w:gridCol w:w="4678"/>
      </w:tblGrid>
      <w:tr w:rsidR="0029379C" w:rsidRPr="009D4A29" w14:paraId="3B3BB66F" w14:textId="77777777" w:rsidTr="00957A1E">
        <w:tc>
          <w:tcPr>
            <w:tcW w:w="9073" w:type="dxa"/>
            <w:gridSpan w:val="3"/>
          </w:tcPr>
          <w:p w14:paraId="5F5D579E" w14:textId="7C46F93E" w:rsidR="00B039F4" w:rsidRPr="00A85548" w:rsidRDefault="00AC75E5" w:rsidP="00957A1E">
            <w:pPr>
              <w:spacing w:before="60" w:after="60" w:line="280" w:lineRule="exact"/>
              <w:jc w:val="center"/>
              <w:rPr>
                <w:rFonts w:ascii="Riojana Bold" w:hAnsi="Riojana Bold"/>
                <w:sz w:val="18"/>
                <w:szCs w:val="18"/>
              </w:rPr>
            </w:pPr>
            <w:r w:rsidRPr="00A85548">
              <w:rPr>
                <w:rFonts w:ascii="Riojana Bold" w:hAnsi="Riojana Bold"/>
                <w:sz w:val="18"/>
                <w:szCs w:val="18"/>
              </w:rPr>
              <w:t>Pacientes a partir de</w:t>
            </w:r>
            <w:r w:rsidR="00B039F4" w:rsidRPr="00A85548">
              <w:rPr>
                <w:rFonts w:ascii="Riojana Bold" w:hAnsi="Riojana Bold"/>
                <w:sz w:val="18"/>
                <w:szCs w:val="18"/>
              </w:rPr>
              <w:t xml:space="preserve"> 18 años incluidos en alguno de los siguientes grupos de riesgo:</w:t>
            </w:r>
          </w:p>
          <w:p w14:paraId="18CEAE26" w14:textId="4D01F5B2" w:rsidR="0029379C" w:rsidRPr="009D4A29" w:rsidRDefault="0029379C" w:rsidP="00957A1E">
            <w:pPr>
              <w:spacing w:before="60" w:after="60" w:line="280" w:lineRule="exact"/>
              <w:jc w:val="center"/>
              <w:rPr>
                <w:rFonts w:ascii="Riojana SemiBold" w:hAnsi="Riojana SemiBold"/>
                <w:sz w:val="18"/>
                <w:szCs w:val="18"/>
              </w:rPr>
            </w:pPr>
            <w:r w:rsidRPr="00A85548">
              <w:rPr>
                <w:rFonts w:ascii="Riojana Bold" w:hAnsi="Riojana Bold"/>
                <w:sz w:val="18"/>
                <w:szCs w:val="18"/>
              </w:rPr>
              <w:t xml:space="preserve"> (Marcar con una X lo que corresponda</w:t>
            </w:r>
            <w:r w:rsidR="009A0091">
              <w:t>)</w:t>
            </w:r>
          </w:p>
        </w:tc>
      </w:tr>
      <w:tr w:rsidR="0029379C" w:rsidRPr="009D4A29" w14:paraId="05B78032" w14:textId="77777777" w:rsidTr="00957A1E">
        <w:tc>
          <w:tcPr>
            <w:tcW w:w="903" w:type="dxa"/>
            <w:vAlign w:val="center"/>
          </w:tcPr>
          <w:p w14:paraId="7CD296B7" w14:textId="3E389479" w:rsidR="0029379C" w:rsidRPr="009D4A29" w:rsidRDefault="004E7472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x"/>
            <w:r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>
              <w:rPr>
                <w:rFonts w:ascii="Riojana Book" w:hAnsi="Riojana Book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170" w:type="dxa"/>
            <w:gridSpan w:val="2"/>
            <w:vAlign w:val="center"/>
          </w:tcPr>
          <w:p w14:paraId="59AF92E1" w14:textId="77777777" w:rsidR="00B039F4" w:rsidRPr="009D4A29" w:rsidRDefault="00C6142B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Trasplante de progenitores hematopoyéticos (TPH)</w:t>
            </w:r>
          </w:p>
        </w:tc>
      </w:tr>
      <w:tr w:rsidR="0029379C" w:rsidRPr="009D4A29" w14:paraId="45BBDCF9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6BBDAF3D" w14:textId="333525BE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6E79DE49" w14:textId="05FD6962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Trasplante de órgano sólido (TOS) o personas en espera del mismo</w:t>
            </w:r>
          </w:p>
        </w:tc>
      </w:tr>
      <w:tr w:rsidR="0029379C" w:rsidRPr="009D4A29" w14:paraId="044688C5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6F68B5EE" w14:textId="08F8E3E9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1F185A22" w14:textId="65C076FE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Tratamiento con fármacos anti-JAK</w:t>
            </w:r>
          </w:p>
        </w:tc>
      </w:tr>
      <w:bookmarkStart w:id="7" w:name="_GoBack"/>
      <w:tr w:rsidR="0029379C" w:rsidRPr="009D4A29" w14:paraId="3B704A9C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051D0E59" w14:textId="2079BC03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170" w:type="dxa"/>
            <w:gridSpan w:val="2"/>
            <w:vAlign w:val="center"/>
          </w:tcPr>
          <w:p w14:paraId="46BC28A6" w14:textId="23A1D66D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VIH</w:t>
            </w:r>
          </w:p>
        </w:tc>
      </w:tr>
      <w:tr w:rsidR="0029379C" w:rsidRPr="009D4A29" w14:paraId="6839D53C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5DEB287F" w14:textId="348CFF48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217D8A92" w14:textId="12ABD982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Hemopatías malignas</w:t>
            </w:r>
          </w:p>
        </w:tc>
      </w:tr>
      <w:tr w:rsidR="0029379C" w:rsidRPr="009D4A29" w14:paraId="5CE95F50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0DB6429B" w14:textId="787D5EE1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2425E5B0" w14:textId="65C415C2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>Tumores sólidos en tratamiento con quimioterapia</w:t>
            </w:r>
          </w:p>
        </w:tc>
      </w:tr>
      <w:tr w:rsidR="0029379C" w:rsidRPr="009D4A29" w14:paraId="2101F68D" w14:textId="77777777" w:rsidTr="00957A1E">
        <w:trPr>
          <w:trHeight w:val="228"/>
        </w:trPr>
        <w:tc>
          <w:tcPr>
            <w:tcW w:w="903" w:type="dxa"/>
            <w:vAlign w:val="center"/>
          </w:tcPr>
          <w:p w14:paraId="5F90DA76" w14:textId="4D59F596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5319D4B5" w14:textId="2E83A2E5" w:rsidR="00B039F4" w:rsidRPr="009D4A29" w:rsidRDefault="00B039F4" w:rsidP="009A0091">
            <w:pPr>
              <w:spacing w:before="60" w:after="60" w:line="280" w:lineRule="exact"/>
              <w:rPr>
                <w:rFonts w:ascii="Riojana Book" w:hAnsi="Riojana Book"/>
                <w:sz w:val="18"/>
                <w:szCs w:val="18"/>
              </w:rPr>
            </w:pPr>
            <w:r w:rsidRPr="009D4A29">
              <w:rPr>
                <w:rFonts w:ascii="Riojana Book" w:hAnsi="Riojana Book"/>
                <w:sz w:val="18"/>
                <w:szCs w:val="18"/>
              </w:rPr>
              <w:t xml:space="preserve">Antecedente </w:t>
            </w:r>
            <w:r w:rsidR="005F195B">
              <w:rPr>
                <w:rFonts w:ascii="Riojana Book" w:hAnsi="Riojana Book"/>
                <w:sz w:val="18"/>
                <w:szCs w:val="18"/>
              </w:rPr>
              <w:t>de 2 o más episodios de He</w:t>
            </w:r>
            <w:r w:rsidRPr="009D4A29">
              <w:rPr>
                <w:rFonts w:ascii="Riojana Book" w:hAnsi="Riojana Book"/>
                <w:sz w:val="18"/>
                <w:szCs w:val="18"/>
              </w:rPr>
              <w:t>rpes zóster</w:t>
            </w:r>
          </w:p>
        </w:tc>
      </w:tr>
      <w:tr w:rsidR="00AC75E5" w:rsidRPr="009D4A29" w14:paraId="77987C81" w14:textId="77777777" w:rsidTr="00957A1E">
        <w:trPr>
          <w:trHeight w:val="228"/>
        </w:trPr>
        <w:tc>
          <w:tcPr>
            <w:tcW w:w="9073" w:type="dxa"/>
            <w:gridSpan w:val="3"/>
          </w:tcPr>
          <w:p w14:paraId="5A3C65EA" w14:textId="1852D134" w:rsidR="00AC75E5" w:rsidRPr="00A85548" w:rsidRDefault="00AC75E5" w:rsidP="009A0091">
            <w:pPr>
              <w:spacing w:line="280" w:lineRule="exact"/>
              <w:jc w:val="center"/>
              <w:rPr>
                <w:rFonts w:ascii="Riojana Bold" w:hAnsi="Riojana Bold"/>
                <w:sz w:val="18"/>
                <w:szCs w:val="18"/>
              </w:rPr>
            </w:pPr>
            <w:r w:rsidRPr="00A85548">
              <w:rPr>
                <w:rFonts w:ascii="Riojana Bold" w:hAnsi="Riojana Bold"/>
                <w:sz w:val="18"/>
                <w:szCs w:val="18"/>
              </w:rPr>
              <w:t>Pacientes a partir de 50 años en tratamiento con alguno de los siguientes fármacos inmunomoduladores o inmunosupresores:</w:t>
            </w:r>
          </w:p>
          <w:p w14:paraId="672AFF7E" w14:textId="72773DB2" w:rsidR="00AC75E5" w:rsidRPr="009D4A29" w:rsidRDefault="00AC75E5" w:rsidP="009A0091">
            <w:pPr>
              <w:spacing w:line="280" w:lineRule="exact"/>
              <w:jc w:val="center"/>
              <w:rPr>
                <w:rFonts w:ascii="Riojana SemiBold" w:hAnsi="Riojana SemiBold"/>
                <w:sz w:val="18"/>
                <w:szCs w:val="18"/>
              </w:rPr>
            </w:pPr>
            <w:r w:rsidRPr="00A85548">
              <w:rPr>
                <w:rFonts w:ascii="Riojana Bold" w:hAnsi="Riojana Bold"/>
                <w:sz w:val="18"/>
                <w:szCs w:val="18"/>
              </w:rPr>
              <w:t xml:space="preserve"> (Marcar con una X lo que corresponda)</w:t>
            </w:r>
          </w:p>
        </w:tc>
      </w:tr>
      <w:tr w:rsidR="0029379C" w:rsidRPr="009D4A29" w14:paraId="316C9D71" w14:textId="77777777" w:rsidTr="00957A1E">
        <w:trPr>
          <w:trHeight w:val="228"/>
        </w:trPr>
        <w:tc>
          <w:tcPr>
            <w:tcW w:w="903" w:type="dxa"/>
          </w:tcPr>
          <w:p w14:paraId="2FED6B1B" w14:textId="3315E285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4232C998" w14:textId="04C20EC4" w:rsidR="0029379C" w:rsidRPr="009A0091" w:rsidRDefault="00AC75E5" w:rsidP="009A0091">
            <w:pPr>
              <w:pStyle w:val="Default"/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Terapias dirigidas frente a células B (incluido rituximab durante el tratamiento y hasta un periodo de 6 meses tras el mismo)</w:t>
            </w:r>
          </w:p>
        </w:tc>
      </w:tr>
      <w:tr w:rsidR="0029379C" w:rsidRPr="009D4A29" w14:paraId="461D2A93" w14:textId="77777777" w:rsidTr="00957A1E">
        <w:trPr>
          <w:trHeight w:val="228"/>
        </w:trPr>
        <w:tc>
          <w:tcPr>
            <w:tcW w:w="903" w:type="dxa"/>
          </w:tcPr>
          <w:p w14:paraId="2EE0CDFF" w14:textId="3401DDBB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014B703B" w14:textId="2D2FD178" w:rsidR="00AC75E5" w:rsidRPr="009A0091" w:rsidRDefault="00AC75E5" w:rsidP="009A0091">
            <w:pPr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Anticuerpos monoclonales frente al receptor de IFN-1 (Anifrolumab)</w:t>
            </w:r>
          </w:p>
        </w:tc>
      </w:tr>
      <w:tr w:rsidR="0029379C" w:rsidRPr="009D4A29" w14:paraId="378BEA29" w14:textId="77777777" w:rsidTr="00957A1E">
        <w:trPr>
          <w:trHeight w:val="228"/>
        </w:trPr>
        <w:tc>
          <w:tcPr>
            <w:tcW w:w="903" w:type="dxa"/>
          </w:tcPr>
          <w:p w14:paraId="67F72A82" w14:textId="5B86341B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1026B21E" w14:textId="23BD3891" w:rsidR="0029379C" w:rsidRPr="009A0091" w:rsidRDefault="00AC75E5" w:rsidP="009A0091">
            <w:pPr>
              <w:pStyle w:val="Default"/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Fármacos anti-TNF</w:t>
            </w:r>
          </w:p>
        </w:tc>
      </w:tr>
      <w:tr w:rsidR="0029379C" w:rsidRPr="009D4A29" w14:paraId="320D2EC9" w14:textId="77777777" w:rsidTr="00957A1E">
        <w:trPr>
          <w:trHeight w:val="228"/>
        </w:trPr>
        <w:tc>
          <w:tcPr>
            <w:tcW w:w="903" w:type="dxa"/>
          </w:tcPr>
          <w:p w14:paraId="0DA308C1" w14:textId="4AB229B4" w:rsidR="0029379C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42939022" w14:textId="1E83A450" w:rsidR="00AC75E5" w:rsidRPr="009A0091" w:rsidRDefault="00AC75E5" w:rsidP="009A0091">
            <w:pPr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Moduladores de la coestimulación de células T</w:t>
            </w:r>
          </w:p>
        </w:tc>
      </w:tr>
      <w:tr w:rsidR="00B039F4" w:rsidRPr="009D4A29" w14:paraId="3232D994" w14:textId="77777777" w:rsidTr="00957A1E">
        <w:trPr>
          <w:trHeight w:val="228"/>
        </w:trPr>
        <w:tc>
          <w:tcPr>
            <w:tcW w:w="903" w:type="dxa"/>
          </w:tcPr>
          <w:p w14:paraId="348238D2" w14:textId="2939E7C2" w:rsidR="00B039F4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02CA9E98" w14:textId="3B4361FC" w:rsidR="00AC75E5" w:rsidRPr="009A0091" w:rsidRDefault="00AC75E5" w:rsidP="009A0091">
            <w:pPr>
              <w:pStyle w:val="Default"/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Inhibidores del receptor de IL-6, IL-17, IL-12/23, IL-23</w:t>
            </w:r>
          </w:p>
        </w:tc>
      </w:tr>
      <w:tr w:rsidR="00B039F4" w:rsidRPr="009D4A29" w14:paraId="658D641C" w14:textId="77777777" w:rsidTr="00957A1E">
        <w:trPr>
          <w:trHeight w:val="228"/>
        </w:trPr>
        <w:tc>
          <w:tcPr>
            <w:tcW w:w="903" w:type="dxa"/>
          </w:tcPr>
          <w:p w14:paraId="63D1CA9F" w14:textId="4CE55830" w:rsidR="00B039F4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02572E07" w14:textId="2312E0FB" w:rsidR="00AC75E5" w:rsidRPr="009A0091" w:rsidRDefault="009D4A29" w:rsidP="009A0091">
            <w:pPr>
              <w:pStyle w:val="Default"/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/>
                <w:bCs/>
                <w:sz w:val="18"/>
                <w:szCs w:val="18"/>
              </w:rPr>
              <w:t>Corticoides sistémicos a dosis moderadas-altas</w:t>
            </w:r>
            <w:r w:rsidR="00DE07C9" w:rsidRPr="009A0091">
              <w:rPr>
                <w:rFonts w:ascii="Riojana Book" w:hAnsi="Riojana Book"/>
                <w:bCs/>
                <w:sz w:val="18"/>
                <w:szCs w:val="18"/>
              </w:rPr>
              <w:t xml:space="preserve"> (Equivalentes a ≥20 mg/día de prednisolona durante más de 10 días, recibida en las 4 semanas previas; equivalentes a ≥10 mg/día de prednisolona durante más de 4 semanas, recibida en los 3 meses previos)</w:t>
            </w:r>
          </w:p>
        </w:tc>
      </w:tr>
      <w:tr w:rsidR="00B039F4" w:rsidRPr="009D4A29" w14:paraId="4777099C" w14:textId="77777777" w:rsidTr="00957A1E">
        <w:trPr>
          <w:trHeight w:val="228"/>
        </w:trPr>
        <w:tc>
          <w:tcPr>
            <w:tcW w:w="903" w:type="dxa"/>
          </w:tcPr>
          <w:p w14:paraId="7C466E65" w14:textId="753BD0F3" w:rsidR="00B039F4" w:rsidRPr="009D4A29" w:rsidRDefault="00A85548" w:rsidP="009A0091">
            <w:pPr>
              <w:spacing w:before="60" w:after="60" w:line="280" w:lineRule="exact"/>
              <w:jc w:val="center"/>
              <w:rPr>
                <w:rFonts w:ascii="Riojana Book" w:hAnsi="Riojana Book"/>
                <w:sz w:val="18"/>
                <w:szCs w:val="18"/>
              </w:rPr>
            </w:pPr>
            <w:r w:rsidRPr="00A85548">
              <w:rPr>
                <w:rFonts w:ascii="Riojana Book" w:hAnsi="Riojana Book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5548">
              <w:rPr>
                <w:rFonts w:ascii="Riojana Book" w:hAnsi="Riojana Book"/>
                <w:sz w:val="18"/>
                <w:szCs w:val="18"/>
              </w:rPr>
              <w:instrText xml:space="preserve"> FORMCHECKBOX </w:instrText>
            </w:r>
            <w:r w:rsidR="00AB1943">
              <w:rPr>
                <w:rFonts w:ascii="Riojana Book" w:hAnsi="Riojana Book"/>
                <w:sz w:val="18"/>
                <w:szCs w:val="18"/>
              </w:rPr>
            </w:r>
            <w:r w:rsidR="00AB1943">
              <w:rPr>
                <w:rFonts w:ascii="Riojana Book" w:hAnsi="Riojana Book"/>
                <w:sz w:val="18"/>
                <w:szCs w:val="18"/>
              </w:rPr>
              <w:fldChar w:fldCharType="separate"/>
            </w:r>
            <w:r w:rsidRPr="00A85548">
              <w:rPr>
                <w:rFonts w:ascii="Riojana Book" w:hAnsi="Riojana Book"/>
                <w:sz w:val="18"/>
                <w:szCs w:val="18"/>
              </w:rPr>
              <w:fldChar w:fldCharType="end"/>
            </w:r>
          </w:p>
        </w:tc>
        <w:tc>
          <w:tcPr>
            <w:tcW w:w="8170" w:type="dxa"/>
            <w:gridSpan w:val="2"/>
            <w:vAlign w:val="center"/>
          </w:tcPr>
          <w:p w14:paraId="350622EF" w14:textId="264DCE42" w:rsidR="00DE07C9" w:rsidRPr="009A0091" w:rsidRDefault="00DE07C9" w:rsidP="009A0091">
            <w:pPr>
              <w:spacing w:before="60" w:after="60" w:line="280" w:lineRule="exact"/>
              <w:jc w:val="both"/>
              <w:rPr>
                <w:rFonts w:ascii="Riojana Book" w:hAnsi="Riojana Book"/>
                <w:sz w:val="18"/>
                <w:szCs w:val="18"/>
              </w:rPr>
            </w:pPr>
            <w:r w:rsidRPr="009A0091">
              <w:rPr>
                <w:rFonts w:ascii="Riojana Book" w:hAnsi="Riojana Book" w:cs="Arial"/>
                <w:bCs/>
                <w:color w:val="000000"/>
                <w:sz w:val="18"/>
                <w:szCs w:val="18"/>
              </w:rPr>
              <w:t>Otros fármacos como metotrexato&gt;20 mg/semana (oral o subcutáneo), azatioprina&gt;3 mg/kg/día, 6-mercaptopurina&gt;1,5 mg/kg/día, micofenolato&gt;1 g/día, en los 3 meses previos</w:t>
            </w:r>
          </w:p>
        </w:tc>
      </w:tr>
      <w:tr w:rsidR="00DE07C9" w:rsidRPr="009D4A29" w14:paraId="60EFD04D" w14:textId="77777777" w:rsidTr="00957A1E">
        <w:trPr>
          <w:trHeight w:val="228"/>
        </w:trPr>
        <w:tc>
          <w:tcPr>
            <w:tcW w:w="9073" w:type="dxa"/>
            <w:gridSpan w:val="3"/>
          </w:tcPr>
          <w:p w14:paraId="0BB60523" w14:textId="6A86D77D" w:rsidR="00534FEA" w:rsidRPr="00A85548" w:rsidRDefault="00DE07C9" w:rsidP="009A0091">
            <w:pPr>
              <w:spacing w:before="60" w:after="60" w:line="280" w:lineRule="exact"/>
              <w:jc w:val="center"/>
              <w:rPr>
                <w:rFonts w:ascii="Riojana Bold" w:hAnsi="Riojana Bold"/>
                <w:sz w:val="18"/>
                <w:szCs w:val="18"/>
              </w:rPr>
            </w:pPr>
            <w:r w:rsidRPr="00A85548">
              <w:rPr>
                <w:rFonts w:ascii="Riojana Bold" w:hAnsi="Riojana Bold"/>
                <w:sz w:val="18"/>
                <w:szCs w:val="18"/>
              </w:rPr>
              <w:t>Personal sanitario solicitante</w:t>
            </w:r>
          </w:p>
        </w:tc>
      </w:tr>
      <w:tr w:rsidR="002575BE" w:rsidRPr="009D4A29" w14:paraId="1B2DB263" w14:textId="77777777" w:rsidTr="00957A1E">
        <w:tc>
          <w:tcPr>
            <w:tcW w:w="4395" w:type="dxa"/>
            <w:gridSpan w:val="2"/>
          </w:tcPr>
          <w:p w14:paraId="17866E6F" w14:textId="3B930D94" w:rsidR="002575BE" w:rsidRPr="004E7472" w:rsidRDefault="002575BE" w:rsidP="004E7472">
            <w:pPr>
              <w:spacing w:after="200" w:line="276" w:lineRule="auto"/>
              <w:rPr>
                <w:rFonts w:ascii="Riojana Bold" w:eastAsia="Calibri" w:hAnsi="Riojana Bold" w:cs="Times New Roman"/>
                <w:sz w:val="20"/>
                <w:szCs w:val="20"/>
              </w:rPr>
            </w:pPr>
            <w:r w:rsidRPr="004E7472">
              <w:rPr>
                <w:rFonts w:ascii="Riojana Bold" w:eastAsia="Calibri" w:hAnsi="Riojana Bold" w:cs="Times New Roman"/>
                <w:sz w:val="20"/>
                <w:szCs w:val="20"/>
              </w:rPr>
              <w:t>NOMBRE:</w:t>
            </w:r>
            <w:r w:rsidR="000F064A">
              <w:rPr>
                <w:rFonts w:ascii="Riojana Bold" w:eastAsia="Calibri" w:hAnsi="Riojana Bold" w:cs="Times New Roman"/>
                <w:sz w:val="20"/>
                <w:szCs w:val="20"/>
              </w:rPr>
              <w:t xml:space="preserve"> 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1B4758FD" w14:textId="34858584" w:rsidR="002575BE" w:rsidRPr="004E7472" w:rsidRDefault="002575BE" w:rsidP="004E7472">
            <w:pPr>
              <w:spacing w:after="200" w:line="276" w:lineRule="auto"/>
              <w:rPr>
                <w:rFonts w:ascii="Riojana Bold" w:eastAsia="Calibri" w:hAnsi="Riojana Bold" w:cs="Times New Roman"/>
                <w:sz w:val="20"/>
                <w:szCs w:val="20"/>
              </w:rPr>
            </w:pPr>
            <w:r w:rsidRPr="004E7472">
              <w:rPr>
                <w:rFonts w:ascii="Riojana Bold" w:eastAsia="Calibri" w:hAnsi="Riojana Bold" w:cs="Times New Roman"/>
                <w:sz w:val="20"/>
                <w:szCs w:val="20"/>
              </w:rPr>
              <w:t>Nº COLEGIADO:</w:t>
            </w:r>
            <w:r w:rsidR="000F064A">
              <w:rPr>
                <w:rFonts w:ascii="Riojana Bold" w:eastAsia="Calibri" w:hAnsi="Riojana Bold" w:cs="Times New Roman"/>
                <w:sz w:val="20"/>
                <w:szCs w:val="20"/>
              </w:rPr>
              <w:t xml:space="preserve"> 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</w:tr>
      <w:tr w:rsidR="002575BE" w:rsidRPr="009D4A29" w14:paraId="5BBAF494" w14:textId="77777777" w:rsidTr="00957A1E">
        <w:tc>
          <w:tcPr>
            <w:tcW w:w="4395" w:type="dxa"/>
            <w:gridSpan w:val="2"/>
          </w:tcPr>
          <w:p w14:paraId="52ABAD66" w14:textId="56BEC0C4" w:rsidR="002575BE" w:rsidRPr="004E7472" w:rsidRDefault="002575BE" w:rsidP="004E7472">
            <w:pPr>
              <w:spacing w:after="200" w:line="276" w:lineRule="auto"/>
              <w:rPr>
                <w:rFonts w:ascii="Riojana Bold" w:eastAsia="Calibri" w:hAnsi="Riojana Bold" w:cs="Times New Roman"/>
                <w:sz w:val="20"/>
                <w:szCs w:val="20"/>
              </w:rPr>
            </w:pPr>
            <w:r w:rsidRPr="004E7472">
              <w:rPr>
                <w:rFonts w:ascii="Riojana Bold" w:eastAsia="Calibri" w:hAnsi="Riojana Bold" w:cs="Times New Roman"/>
                <w:sz w:val="20"/>
                <w:szCs w:val="20"/>
              </w:rPr>
              <w:t>CENTRO DE SALUD: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 xml:space="preserve"> 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</w:tcPr>
          <w:p w14:paraId="1F27FA53" w14:textId="6D9F3549" w:rsidR="002575BE" w:rsidRPr="004E7472" w:rsidRDefault="002575BE" w:rsidP="004E7472">
            <w:pPr>
              <w:spacing w:after="200" w:line="276" w:lineRule="auto"/>
              <w:rPr>
                <w:rFonts w:ascii="Riojana Bold" w:eastAsia="Calibri" w:hAnsi="Riojana Bold" w:cs="Times New Roman"/>
                <w:sz w:val="20"/>
                <w:szCs w:val="20"/>
              </w:rPr>
            </w:pPr>
            <w:r w:rsidRPr="004E7472">
              <w:rPr>
                <w:rFonts w:ascii="Riojana Bold" w:eastAsia="Calibri" w:hAnsi="Riojana Bold" w:cs="Times New Roman"/>
                <w:sz w:val="20"/>
                <w:szCs w:val="20"/>
              </w:rPr>
              <w:t>FECHA:</w:t>
            </w:r>
            <w:r w:rsidR="000F064A">
              <w:rPr>
                <w:rFonts w:ascii="Riojana Bold" w:eastAsia="Calibri" w:hAnsi="Riojana Bold" w:cs="Times New Roman"/>
                <w:sz w:val="20"/>
                <w:szCs w:val="20"/>
              </w:rPr>
              <w:t xml:space="preserve"> 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instrText xml:space="preserve"> FORMTEXT </w:instrTex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separate"/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t> </w:t>
            </w:r>
            <w:r w:rsidR="000F064A" w:rsidRPr="00957A1E">
              <w:rPr>
                <w:rFonts w:ascii="Riojana Bold" w:hAnsi="Riojana Bold"/>
                <w:sz w:val="20"/>
                <w:szCs w:val="20"/>
              </w:rPr>
              <w:fldChar w:fldCharType="end"/>
            </w:r>
          </w:p>
        </w:tc>
      </w:tr>
    </w:tbl>
    <w:p w14:paraId="24488B6F" w14:textId="77777777" w:rsidR="00AC75E5" w:rsidRPr="00C0506C" w:rsidRDefault="00AC75E5" w:rsidP="00C0506C">
      <w:pPr>
        <w:jc w:val="both"/>
        <w:rPr>
          <w:rFonts w:ascii="Riojana Bold" w:hAnsi="Riojana Bold"/>
          <w:u w:val="single"/>
        </w:rPr>
      </w:pPr>
    </w:p>
    <w:sectPr w:rsidR="00AC75E5" w:rsidRPr="00C0506C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B3ADF" w14:textId="77777777" w:rsidR="007B20A4" w:rsidRDefault="007B20A4" w:rsidP="0069392B">
      <w:r>
        <w:separator/>
      </w:r>
    </w:p>
  </w:endnote>
  <w:endnote w:type="continuationSeparator" w:id="0">
    <w:p w14:paraId="198CC554" w14:textId="77777777" w:rsidR="007B20A4" w:rsidRDefault="007B20A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altName w:val="Britannic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81E8" w14:textId="77777777" w:rsidR="007B20A4" w:rsidRDefault="007B20A4" w:rsidP="0069392B">
      <w:r>
        <w:separator/>
      </w:r>
    </w:p>
  </w:footnote>
  <w:footnote w:type="continuationSeparator" w:id="0">
    <w:p w14:paraId="629ABD53" w14:textId="77777777" w:rsidR="007B20A4" w:rsidRDefault="007B20A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22D23183" w:rsidR="00A6238F" w:rsidRDefault="003811AC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05DF259F">
              <wp:simplePos x="0" y="0"/>
              <wp:positionH relativeFrom="page">
                <wp:align>right</wp:align>
              </wp:positionH>
              <wp:positionV relativeFrom="paragraph">
                <wp:posOffset>373380</wp:posOffset>
              </wp:positionV>
              <wp:extent cx="1386205" cy="30702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760C8" w14:textId="706DCB92" w:rsidR="00022E1C" w:rsidRPr="00AB7932" w:rsidRDefault="00A85548" w:rsidP="00860E6C">
                          <w:pPr>
                            <w:pStyle w:val="Datosdecontacto"/>
                          </w:pPr>
                          <w:r>
                            <w:t>prog</w:t>
                          </w:r>
                          <w:r w:rsidR="008A6503">
                            <w:t>rama.vacunas</w:t>
                          </w:r>
                          <w:r w:rsidR="00022E1C">
                            <w:t>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7.95pt;margin-top:29.4pt;width:109.15pt;height:24.2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zt2gEAAKADAAAOAAAAZHJzL2Uyb0RvYy54bWysU8Fu1DAQvSPxD5bvbNItXUq02QqoipBK&#10;QWr7AY5jbyxijxl7N1m+nrGz2RZ6Q1ysyfjN83szk/XVaHu2VxgMuJqfLUrOlJPQGret+ePDzZtL&#10;zkIUrhU9OFXzgwr8avP61XrwlVpCB32rkBGJC9Xga97F6KuiCLJTVoQFeOXoUgNaEekTt0WLYiB2&#10;2xfLslwVA2DrEaQKgbLX0yXfZH6tlYzftA4qsr7mpC3mE/PZpLPYrEW1ReE7I48yxD+osMI4evRE&#10;dS2iYDs0L6iskQgBdFxIsAVobaTKHsjNWfmXm/tOeJW9UHOCP7Up/D9aebf/jsy0NV9x5oSlET2o&#10;MbKPMLK371N7Bh8qQt17wsWR8jTmbDX4W5A/AkGKZ5ipICR0M3yFlgjFLkKuGDXa1CSyzYiG5nE4&#10;zSA9KhP3+eVqWV5wJunuvHxXLi+SikJUc7XHED8rsCwFNUeacWYX+9sQJ+gMSY85uDF9T3lR9e6P&#10;BHGmTFafBE/S49iMhE6WGmgP5ANhWhtacwo6wF+cDbQyNQ8/dwIVZ/0XRzNJ+zUHOAfNHAgnqbTm&#10;kbMp/BSnPdx5NNuOmKe2OvhA/dImW3lScdRJa5CbcVzZtGfPvzPq6cfa/AYAAP//AwBQSwMEFAAG&#10;AAgAAAAhAIT3fOPdAAAABwEAAA8AAABkcnMvZG93bnJldi54bWxMj8FOwzAQRO9I/IO1SNyo06DS&#10;KI1ToaKKA+LQAhLHbbxNImI7st3U/XuWEz2OZjTzplonM4iJfOidVTCfZSDINk73tlXw+bF9KECE&#10;iFbj4CwpuFCAdX17U2Gp3dnuaNrHVnCJDSUq6GIcSylD05HBMHMjWfaOzhuMLH0rtcczl5tB5ln2&#10;JA32lhc6HGnTUfOzPxkFX5tx+5a+O3yfFvr1JV/uLr5JSt3fpecViEgp/ofhD5/RoWamgztZHcSg&#10;gI9EBYuC+dnN58UjiAPHsmUOsq7kNX/9CwAA//8DAFBLAQItABQABgAIAAAAIQC2gziS/gAAAOEB&#10;AAATAAAAAAAAAAAAAAAAAAAAAABbQ29udGVudF9UeXBlc10ueG1sUEsBAi0AFAAGAAgAAAAhADj9&#10;If/WAAAAlAEAAAsAAAAAAAAAAAAAAAAALwEAAF9yZWxzLy5yZWxzUEsBAi0AFAAGAAgAAAAhAD5H&#10;DO3aAQAAoAMAAA4AAAAAAAAAAAAAAAAALgIAAGRycy9lMm9Eb2MueG1sUEsBAi0AFAAGAAgAAAAh&#10;AIT3fOPdAAAABwEAAA8AAAAAAAAAAAAAAAAANAQAAGRycy9kb3ducmV2LnhtbFBLBQYAAAAABAAE&#10;APMAAAA+BQAAAAA=&#10;" filled="f" stroked="f">
              <v:path arrowok="t"/>
              <v:textbox inset="0,0,0,0">
                <w:txbxContent>
                  <w:p w14:paraId="0FD760C8" w14:textId="706DCB92" w:rsidR="00022E1C" w:rsidRPr="00AB7932" w:rsidRDefault="00A85548" w:rsidP="00860E6C">
                    <w:pPr>
                      <w:pStyle w:val="Datosdecontacto"/>
                    </w:pPr>
                    <w:r>
                      <w:t>prog</w:t>
                    </w:r>
                    <w:r w:rsidR="008A6503">
                      <w:t>rama.vacunas</w:t>
                    </w:r>
                    <w:r w:rsidR="00022E1C">
                      <w:t>@larioja.org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48E7"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3B5D3CD8">
              <wp:simplePos x="0" y="0"/>
              <wp:positionH relativeFrom="column">
                <wp:posOffset>1171575</wp:posOffset>
              </wp:positionH>
              <wp:positionV relativeFrom="paragraph">
                <wp:posOffset>340995</wp:posOffset>
              </wp:positionV>
              <wp:extent cx="3470910" cy="314325"/>
              <wp:effectExtent l="0" t="0" r="15240" b="952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964E" w14:textId="77777777" w:rsidR="00C648E7" w:rsidRDefault="00C648E7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6F8E1520" w14:textId="1A13E0D2" w:rsidR="00C648E7" w:rsidRDefault="00C648E7" w:rsidP="00860E6C">
                          <w:pPr>
                            <w:pStyle w:val="Cabecera-DireccionesGenerales"/>
                          </w:pPr>
                          <w:r w:rsidRPr="00737A6D">
                            <w:t xml:space="preserve">Dirección General </w:t>
                          </w:r>
                          <w:r>
                            <w:t>d</w:t>
                          </w:r>
                          <w:r w:rsidRPr="00737A6D">
                            <w:t xml:space="preserve">e </w:t>
                          </w:r>
                          <w:r>
                            <w:t>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25pt;margin-top:26.85pt;width:273.3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2I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BuEpJJNLVZ+DQZX3dKm3dMtsgKKVbQa+ed&#10;7u+1GUxHExtMyJw3Dehp0ogLBfgcNBAbnto7m4Vr3484iNeL9YJ4JJqtPRJkmXebr4g3y8P5NJtk&#10;q1UW/rRxQ5LUvCyZsGFGKoXkz1p1JPVAghOZtGx4ad3ZlLTablaNQnsKVM7ddyzImZl/mYarF2B5&#10;ASmMSHAXxV4+W8w9kpOpF8+DhReE8V08C0hMsvwS0j0X7N8hoT7F8RT66OD8FlvgvtfYaNJyA8ui&#10;4W2KFycjmtSMlmtRutYayptBPiuFTf+5FNDusdGOsJajA1vNYXNwsxCOhN/I8gkYrCQQDLgIiw6E&#10;WqrvGPWwNFKsv+2oYhg17wVMpd0wo6BGYTMKVBTwNMUGo0FcmWET7TrFtzV4HgZKyFuYlIo7EtuR&#10;GrI4zhcsAofluLTspjn/d1bPq3X5CwAA//8DAFBLAwQUAAYACAAAACEAyaR3YeAAAAAKAQAADwAA&#10;AGRycy9kb3ducmV2LnhtbEyPy07DMBBF90j8gzVI7KjzIKRK41SoqGKBWLSA1OU0NnFEbEexm7p/&#10;z7Ciy6t7dOdMvY5mYLOafO+sgHSRAFO2dbK3nYDPj+3DEpgPaCUOzioBF+Vh3dze1FhJd7Y7Ne9D&#10;x2jE+goF6BDGinPfamXQL9yoLHXfbjIYKE4dlxOeadwMPEuSJ26wt3RB46g2WrU/+5MR8LUZt2/x&#10;oPF9LuTrS1buLlMbhbi/i88rYEHF8A/Dnz6pQ0NOR3ey0rOB8vKxIFRAkZfACCjzNAV2pCbJM+BN&#10;za9faH4BAAD//wMAUEsBAi0AFAAGAAgAAAAhALaDOJL+AAAA4QEAABMAAAAAAAAAAAAAAAAAAAAA&#10;AFtDb250ZW50X1R5cGVzXS54bWxQSwECLQAUAAYACAAAACEAOP0h/9YAAACUAQAACwAAAAAAAAAA&#10;AAAAAAAvAQAAX3JlbHMvLnJlbHNQSwECLQAUAAYACAAAACEAcXstiKgCAACiBQAADgAAAAAAAAAA&#10;AAAAAAAuAgAAZHJzL2Uyb0RvYy54bWxQSwECLQAUAAYACAAAACEAyaR3YeAAAAAKAQAADwAAAAAA&#10;AAAAAAAAAAACBQAAZHJzL2Rvd25yZXYueG1sUEsFBgAAAAAEAAQA8wAAAA8GAAAAAA==&#10;" filled="f" stroked="f">
              <v:path arrowok="t"/>
              <v:textbox inset="0,0,0,0">
                <w:txbxContent>
                  <w:p w14:paraId="3742964E" w14:textId="77777777" w:rsidR="00C648E7" w:rsidRDefault="00C648E7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6F8E1520" w14:textId="1A13E0D2" w:rsidR="00C648E7" w:rsidRDefault="00C648E7" w:rsidP="00860E6C">
                    <w:pPr>
                      <w:pStyle w:val="Cabecera-DireccionesGenerales"/>
                    </w:pPr>
                    <w:r w:rsidRPr="00737A6D">
                      <w:t xml:space="preserve">Dirección General </w:t>
                    </w:r>
                    <w:r>
                      <w:t>d</w:t>
                    </w:r>
                    <w:r w:rsidRPr="00737A6D">
                      <w:t xml:space="preserve">e </w:t>
                    </w:r>
                    <w:r>
                      <w:t>Salud Pública, Consumo y Cuidados</w:t>
                    </w:r>
                  </w:p>
                </w:txbxContent>
              </v:textbox>
            </v:shape>
          </w:pict>
        </mc:Fallback>
      </mc:AlternateContent>
    </w:r>
    <w:r w:rsidR="00C648E7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579EC5E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42C3691" w:rsidR="00240D3F" w:rsidRDefault="00100590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45pt;margin-top:11.85pt;width:273.3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hmow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FkYXwbEkeTTZLrdKW3eMdkia6RYAccuOj3caWOrocnk&#10;YpMJmfOmcTw34mwDHMcdyA1X7ZmtwtH2Iw7izXKzJB6J5huPBFnm3eRr4s3zcDHLLrP1Ogt/2rwh&#10;SWpelkzYNJOEQvJnFD2JeST/KCItG17acLYkrXbbdaPQgYKEc/dZWqD4Ezf/vAx3DFheQAojEtxG&#10;sZfPlwuP5GTmxYtg6QVhfBvPAxKTLD+HdMcF+3dIqE9xPItmo2p+iy1w32tsNGm5gSHR8DbFy6MT&#10;TWpGy40oHbWG8ma0T1phy39uBXRsItoJ1mp0VKsZtoN7A9Ek+K0sH0HBSoLAQIsw4MCopfqOUQ/D&#10;IsX6254qhlHzXsBrtJNlMtRkbCeDigKupthgNJprM06gfaf4robI44MS8gZeSsWdiO2TGqsABHYB&#10;A8BheRpWdsKcrp3X80hd/QIAAP//AwBQSwMEFAAGAAgAAAAhACnfE4zgAAAACQEAAA8AAABkcnMv&#10;ZG93bnJldi54bWxMj8FOwzAQRO9I/IO1SNyok7QhJcSpUFHFAfXQQqUet/ESR8R2FLup+/eYExxH&#10;+zTztloF3bOJRtdZIyCdJcDINFZ2phXw+bF5WAJzHo3E3hoScCUHq/r2psJS2ovZ0bT3LYslxpUo&#10;QHk/lJy7RpFGN7MDmXj7sqNGH+PYcjniJZbrnmdJ8sg1diYuKBxoraj53p+1gMN62LyHo8LtlMu3&#10;16zYXccmCHF/F16egXkK/g+GX/2oDnV0OtmzkY71MS8XTxEVkM0LYBEo5mkO7CQgX6TA64r//6D+&#10;AQAA//8DAFBLAQItABQABgAIAAAAIQC2gziS/gAAAOEBAAATAAAAAAAAAAAAAAAAAAAAAABbQ29u&#10;dGVudF9UeXBlc10ueG1sUEsBAi0AFAAGAAgAAAAhADj9If/WAAAAlAEAAAsAAAAAAAAAAAAAAAAA&#10;LwEAAF9yZWxzLy5yZWxzUEsBAi0AFAAGAAgAAAAhAMuOmGajAgAAmgUAAA4AAAAAAAAAAAAAAAAA&#10;LgIAAGRycy9lMm9Eb2MueG1sUEsBAi0AFAAGAAgAAAAhACnfE4zgAAAACQEAAA8AAAAAAAAAAAAA&#10;AAAA/QQAAGRycy9kb3ducmV2LnhtbFBLBQYAAAAABAAEAPMAAAAKBgAAAAA=&#10;" filled="f" stroked="f">
              <v:path arrowok="t"/>
              <v:textbox inset="0,0,0,0">
                <w:txbxContent>
                  <w:p w14:paraId="03C28225" w14:textId="642C3691" w:rsidR="00240D3F" w:rsidRDefault="00100590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6C802F6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E80E17F" w:rsidR="00022E1C" w:rsidRPr="00547709" w:rsidRDefault="003811AC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68033B67" w14:textId="24E896C5" w:rsidR="00022E1C" w:rsidRPr="00547709" w:rsidRDefault="008A6503" w:rsidP="003364A2">
                          <w:pPr>
                            <w:pStyle w:val="Datosdecontacto"/>
                          </w:pPr>
                          <w:r>
                            <w:t>2600</w:t>
                          </w:r>
                          <w:r w:rsidR="00022E1C" w:rsidRPr="00547709">
                            <w:t>1 Logroño (La Rioja)</w:t>
                          </w:r>
                        </w:p>
                        <w:p w14:paraId="3DC67A0C" w14:textId="53E027F7" w:rsidR="00022E1C" w:rsidRPr="00547709" w:rsidRDefault="00022E1C" w:rsidP="00A85548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3811AC">
                            <w:t>29</w:t>
                          </w:r>
                          <w:r w:rsidRPr="00547709">
                            <w:t xml:space="preserve"> </w:t>
                          </w:r>
                          <w:r w:rsidR="003811AC"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E80E17F" w:rsidR="00022E1C" w:rsidRPr="00547709" w:rsidRDefault="003811AC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68033B67" w14:textId="24E896C5" w:rsidR="00022E1C" w:rsidRPr="00547709" w:rsidRDefault="008A6503" w:rsidP="003364A2">
                    <w:pPr>
                      <w:pStyle w:val="Datosdecontacto"/>
                    </w:pPr>
                    <w:r>
                      <w:t>2600</w:t>
                    </w:r>
                    <w:r w:rsidR="00022E1C" w:rsidRPr="00547709">
                      <w:t>1 Logroño (La Rioja)</w:t>
                    </w:r>
                  </w:p>
                  <w:p w14:paraId="3DC67A0C" w14:textId="53E027F7" w:rsidR="00022E1C" w:rsidRPr="00547709" w:rsidRDefault="00022E1C" w:rsidP="00A85548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3811AC">
                      <w:t>29</w:t>
                    </w:r>
                    <w:r w:rsidRPr="00547709">
                      <w:t xml:space="preserve"> </w:t>
                    </w:r>
                    <w:r w:rsidR="003811AC">
                      <w:t>11</w:t>
                    </w:r>
                    <w:r w:rsidRPr="00547709">
                      <w:t xml:space="preserve"> 00</w:t>
                    </w: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11C46DC4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250B"/>
    <w:multiLevelType w:val="hybridMultilevel"/>
    <w:tmpl w:val="0C7070CE"/>
    <w:lvl w:ilvl="0" w:tplc="EB362B12">
      <w:numFmt w:val="bullet"/>
      <w:lvlText w:val="-"/>
      <w:lvlJc w:val="left"/>
      <w:pPr>
        <w:ind w:left="720" w:hanging="360"/>
      </w:pPr>
      <w:rPr>
        <w:rFonts w:ascii="Riojana Book" w:eastAsiaTheme="minorHAnsi" w:hAnsi="Riojana Book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XZlaiMLURPoOmL+UJCysAxpP/qChuU3vEwk14LQOmMeJhcCy4kt7BPOejY0jLF0ZN35QnWmKQH1I8W0qqr6Og==" w:salt="E/cMSb1h5j5IWLyWd775RQ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064A"/>
    <w:rsid w:val="000F3F3C"/>
    <w:rsid w:val="00100590"/>
    <w:rsid w:val="001B01EE"/>
    <w:rsid w:val="00240D3F"/>
    <w:rsid w:val="00250CDB"/>
    <w:rsid w:val="002575BE"/>
    <w:rsid w:val="0029379C"/>
    <w:rsid w:val="002C41E9"/>
    <w:rsid w:val="002E72EE"/>
    <w:rsid w:val="00307CD0"/>
    <w:rsid w:val="003364A2"/>
    <w:rsid w:val="00346ABB"/>
    <w:rsid w:val="003811AC"/>
    <w:rsid w:val="003A3E60"/>
    <w:rsid w:val="00473F8B"/>
    <w:rsid w:val="00495B58"/>
    <w:rsid w:val="004D420D"/>
    <w:rsid w:val="004E7472"/>
    <w:rsid w:val="0050645C"/>
    <w:rsid w:val="00534FEA"/>
    <w:rsid w:val="00574433"/>
    <w:rsid w:val="005F195B"/>
    <w:rsid w:val="00673FFA"/>
    <w:rsid w:val="0069392B"/>
    <w:rsid w:val="006A7DBC"/>
    <w:rsid w:val="00716285"/>
    <w:rsid w:val="007B20A4"/>
    <w:rsid w:val="008568B5"/>
    <w:rsid w:val="00860E6C"/>
    <w:rsid w:val="0087541B"/>
    <w:rsid w:val="008A6503"/>
    <w:rsid w:val="008C4AF1"/>
    <w:rsid w:val="008E7E40"/>
    <w:rsid w:val="00917E39"/>
    <w:rsid w:val="00957A1E"/>
    <w:rsid w:val="00984ED1"/>
    <w:rsid w:val="009A0091"/>
    <w:rsid w:val="009D4A29"/>
    <w:rsid w:val="00A6238F"/>
    <w:rsid w:val="00A85548"/>
    <w:rsid w:val="00AB1943"/>
    <w:rsid w:val="00AC6E30"/>
    <w:rsid w:val="00AC75E5"/>
    <w:rsid w:val="00B039F4"/>
    <w:rsid w:val="00B52AA8"/>
    <w:rsid w:val="00B725BE"/>
    <w:rsid w:val="00B93DBC"/>
    <w:rsid w:val="00B97FCD"/>
    <w:rsid w:val="00BC1441"/>
    <w:rsid w:val="00BE70B2"/>
    <w:rsid w:val="00C0506C"/>
    <w:rsid w:val="00C05A43"/>
    <w:rsid w:val="00C6142B"/>
    <w:rsid w:val="00C648E7"/>
    <w:rsid w:val="00D017AC"/>
    <w:rsid w:val="00D704C7"/>
    <w:rsid w:val="00D96870"/>
    <w:rsid w:val="00DD0856"/>
    <w:rsid w:val="00DE07C9"/>
    <w:rsid w:val="00E41609"/>
    <w:rsid w:val="00E63FE9"/>
    <w:rsid w:val="00ED47D0"/>
    <w:rsid w:val="00F141E1"/>
    <w:rsid w:val="00F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47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5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75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75E5"/>
    <w:rPr>
      <w:rFonts w:ascii="Riojana" w:hAnsi="Rioj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7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Belén Berradre Sáenz</cp:lastModifiedBy>
  <cp:revision>7</cp:revision>
  <cp:lastPrinted>2023-07-18T15:56:00Z</cp:lastPrinted>
  <dcterms:created xsi:type="dcterms:W3CDTF">2023-10-23T09:19:00Z</dcterms:created>
  <dcterms:modified xsi:type="dcterms:W3CDTF">2023-10-23T09:23:00Z</dcterms:modified>
</cp:coreProperties>
</file>